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94EC3" w14:textId="77777777" w:rsidR="00F03107" w:rsidRDefault="00BE70EF" w:rsidP="00F03107">
      <w:pPr>
        <w:spacing w:after="200" w:line="276" w:lineRule="auto"/>
        <w:rPr>
          <w:rFonts w:ascii="Arial" w:eastAsiaTheme="minorHAnsi" w:hAnsi="Arial" w:cs="Arial"/>
          <w:sz w:val="22"/>
          <w:szCs w:val="22"/>
          <w:lang w:eastAsia="en-US"/>
        </w:rPr>
      </w:pPr>
      <w:bookmarkStart w:id="0" w:name="_GoBack"/>
      <w:bookmarkEnd w:id="0"/>
      <w:r>
        <w:rPr>
          <w:noProof/>
        </w:rPr>
        <w:drawing>
          <wp:anchor distT="0" distB="0" distL="114300" distR="114300" simplePos="0" relativeHeight="251658240" behindDoc="0" locked="0" layoutInCell="1" allowOverlap="1" wp14:anchorId="7B8EA467" wp14:editId="2A460DAA">
            <wp:simplePos x="0" y="0"/>
            <wp:positionH relativeFrom="column">
              <wp:posOffset>3705225</wp:posOffset>
            </wp:positionH>
            <wp:positionV relativeFrom="paragraph">
              <wp:posOffset>0</wp:posOffset>
            </wp:positionV>
            <wp:extent cx="2447925" cy="9810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03107" w:rsidRPr="00E11F15">
        <w:rPr>
          <w:rFonts w:asciiTheme="minorHAnsi" w:eastAsiaTheme="minorHAnsi" w:hAnsiTheme="minorHAnsi" w:cstheme="minorBidi"/>
          <w:noProof/>
          <w:sz w:val="22"/>
          <w:szCs w:val="22"/>
        </w:rPr>
        <w:drawing>
          <wp:inline distT="0" distB="0" distL="0" distR="0" wp14:anchorId="5C86EB2D" wp14:editId="3EF914EF">
            <wp:extent cx="771052" cy="87233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116" cy="872410"/>
                    </a:xfrm>
                    <a:prstGeom prst="rect">
                      <a:avLst/>
                    </a:prstGeom>
                    <a:noFill/>
                    <a:ln>
                      <a:noFill/>
                    </a:ln>
                  </pic:spPr>
                </pic:pic>
              </a:graphicData>
            </a:graphic>
          </wp:inline>
        </w:drawing>
      </w:r>
    </w:p>
    <w:p w14:paraId="0BCF5B6C" w14:textId="77777777" w:rsidR="00F03107" w:rsidRDefault="00F03107" w:rsidP="00F03107">
      <w:pPr>
        <w:spacing w:after="200" w:line="276" w:lineRule="auto"/>
        <w:rPr>
          <w:rFonts w:ascii="Arial" w:eastAsiaTheme="minorHAnsi" w:hAnsi="Arial" w:cs="Arial"/>
          <w:sz w:val="22"/>
          <w:szCs w:val="22"/>
          <w:lang w:eastAsia="en-US"/>
        </w:rPr>
      </w:pPr>
    </w:p>
    <w:p w14:paraId="2CF2E3C6" w14:textId="77777777" w:rsidR="00F03107" w:rsidRDefault="00F03107" w:rsidP="00F03107">
      <w:pPr>
        <w:spacing w:line="276" w:lineRule="auto"/>
        <w:jc w:val="center"/>
        <w:rPr>
          <w:rFonts w:ascii="Arial" w:eastAsiaTheme="minorHAnsi" w:hAnsi="Arial" w:cs="Arial"/>
          <w:b/>
          <w:bCs/>
          <w:sz w:val="28"/>
          <w:szCs w:val="28"/>
          <w:lang w:eastAsia="en-US"/>
        </w:rPr>
      </w:pPr>
      <w:r w:rsidRPr="0021156F">
        <w:rPr>
          <w:rFonts w:ascii="Arial" w:eastAsiaTheme="minorHAnsi" w:hAnsi="Arial" w:cs="Arial"/>
          <w:b/>
          <w:bCs/>
          <w:sz w:val="28"/>
          <w:szCs w:val="28"/>
          <w:lang w:eastAsia="en-US"/>
        </w:rPr>
        <w:t xml:space="preserve">Specialist Assessment Service </w:t>
      </w:r>
    </w:p>
    <w:p w14:paraId="7D18FCD7" w14:textId="77777777" w:rsidR="00F03107" w:rsidRPr="0021156F" w:rsidRDefault="00F03107" w:rsidP="00F03107">
      <w:pPr>
        <w:spacing w:line="276" w:lineRule="auto"/>
        <w:jc w:val="center"/>
        <w:rPr>
          <w:rFonts w:ascii="Arial" w:eastAsiaTheme="minorHAnsi" w:hAnsi="Arial" w:cs="Arial"/>
          <w:b/>
          <w:bCs/>
          <w:sz w:val="28"/>
          <w:szCs w:val="28"/>
          <w:lang w:eastAsia="en-US"/>
        </w:rPr>
      </w:pPr>
    </w:p>
    <w:p w14:paraId="42A8C31C" w14:textId="77777777" w:rsidR="00F03107" w:rsidRDefault="00F03107" w:rsidP="00F03107">
      <w:pPr>
        <w:spacing w:after="200" w:line="276" w:lineRule="auto"/>
        <w:jc w:val="center"/>
        <w:rPr>
          <w:rFonts w:ascii="Arial" w:eastAsiaTheme="minorHAnsi" w:hAnsi="Arial" w:cs="Arial"/>
          <w:b/>
          <w:sz w:val="22"/>
          <w:szCs w:val="22"/>
          <w:lang w:eastAsia="en-US"/>
        </w:rPr>
      </w:pPr>
      <w:r>
        <w:rPr>
          <w:rFonts w:ascii="Arial" w:eastAsiaTheme="minorHAnsi" w:hAnsi="Arial" w:cs="Arial"/>
          <w:b/>
          <w:sz w:val="22"/>
          <w:szCs w:val="22"/>
          <w:lang w:eastAsia="en-US"/>
        </w:rPr>
        <w:t xml:space="preserve">Pathological Demand Avoidance (PDA) </w:t>
      </w:r>
    </w:p>
    <w:p w14:paraId="5F51DE83" w14:textId="77777777" w:rsidR="00F03107" w:rsidRDefault="00F03107" w:rsidP="00F03107">
      <w:pPr>
        <w:spacing w:after="200" w:line="276" w:lineRule="auto"/>
        <w:jc w:val="center"/>
        <w:rPr>
          <w:rFonts w:ascii="Arial" w:eastAsiaTheme="minorHAnsi" w:hAnsi="Arial" w:cs="Arial"/>
          <w:b/>
          <w:sz w:val="22"/>
          <w:szCs w:val="22"/>
          <w:lang w:eastAsia="en-US"/>
        </w:rPr>
      </w:pPr>
      <w:r>
        <w:rPr>
          <w:rFonts w:ascii="Arial" w:eastAsiaTheme="minorHAnsi" w:hAnsi="Arial" w:cs="Arial"/>
          <w:b/>
          <w:sz w:val="22"/>
          <w:szCs w:val="22"/>
          <w:lang w:eastAsia="en-US"/>
        </w:rPr>
        <w:t>Referral pack</w:t>
      </w:r>
    </w:p>
    <w:p w14:paraId="62D24385" w14:textId="77777777" w:rsidR="00F03107" w:rsidRPr="00F03107" w:rsidRDefault="00F03107" w:rsidP="00F03107">
      <w:pPr>
        <w:spacing w:after="200" w:line="276" w:lineRule="auto"/>
        <w:jc w:val="center"/>
        <w:rPr>
          <w:rFonts w:ascii="Arial" w:eastAsiaTheme="minorHAnsi" w:hAnsi="Arial" w:cs="Arial"/>
          <w:sz w:val="22"/>
          <w:szCs w:val="22"/>
          <w:lang w:eastAsia="en-US"/>
        </w:rPr>
      </w:pPr>
    </w:p>
    <w:p w14:paraId="37752FCA" w14:textId="77777777" w:rsidR="00F03107" w:rsidRDefault="00F03107" w:rsidP="00F03107">
      <w:pPr>
        <w:spacing w:after="200" w:line="276" w:lineRule="auto"/>
        <w:rPr>
          <w:rFonts w:ascii="Arial" w:eastAsiaTheme="minorHAnsi" w:hAnsi="Arial" w:cs="Arial"/>
          <w:sz w:val="22"/>
          <w:szCs w:val="22"/>
          <w:lang w:eastAsia="en-US"/>
        </w:rPr>
      </w:pPr>
      <w:r w:rsidRPr="00F03107">
        <w:rPr>
          <w:rFonts w:ascii="Arial" w:eastAsiaTheme="minorHAnsi" w:hAnsi="Arial" w:cs="Arial"/>
          <w:sz w:val="22"/>
          <w:szCs w:val="22"/>
          <w:lang w:eastAsia="en-US"/>
        </w:rPr>
        <w:t xml:space="preserve">PDA </w:t>
      </w:r>
      <w:r>
        <w:rPr>
          <w:rFonts w:ascii="Arial" w:eastAsiaTheme="minorHAnsi" w:hAnsi="Arial" w:cs="Arial"/>
          <w:sz w:val="22"/>
          <w:szCs w:val="22"/>
          <w:lang w:eastAsia="en-US"/>
        </w:rPr>
        <w:t xml:space="preserve">is becoming increasingly recognised as an atypical subtype of an Autism Spectrum </w:t>
      </w:r>
      <w:r w:rsidR="0072193A">
        <w:rPr>
          <w:rFonts w:ascii="Arial" w:eastAsiaTheme="minorHAnsi" w:hAnsi="Arial" w:cs="Arial"/>
          <w:sz w:val="22"/>
          <w:szCs w:val="22"/>
          <w:lang w:eastAsia="en-US"/>
        </w:rPr>
        <w:t>D</w:t>
      </w:r>
      <w:r>
        <w:rPr>
          <w:rFonts w:ascii="Arial" w:eastAsiaTheme="minorHAnsi" w:hAnsi="Arial" w:cs="Arial"/>
          <w:sz w:val="22"/>
          <w:szCs w:val="22"/>
          <w:lang w:eastAsia="en-US"/>
        </w:rPr>
        <w:t xml:space="preserve">isorder.  It is important to recognise that PDA is not formally recognised as a clinical diagnostic term.  From our experience we have become aware that there are some children whose profile of needs change over time and people then become concerned that their profile of needs </w:t>
      </w:r>
      <w:proofErr w:type="gramStart"/>
      <w:r>
        <w:rPr>
          <w:rFonts w:ascii="Arial" w:eastAsiaTheme="minorHAnsi" w:hAnsi="Arial" w:cs="Arial"/>
          <w:sz w:val="22"/>
          <w:szCs w:val="22"/>
          <w:lang w:eastAsia="en-US"/>
        </w:rPr>
        <w:t>indicate</w:t>
      </w:r>
      <w:proofErr w:type="gramEnd"/>
      <w:r>
        <w:rPr>
          <w:rFonts w:ascii="Arial" w:eastAsiaTheme="minorHAnsi" w:hAnsi="Arial" w:cs="Arial"/>
          <w:sz w:val="22"/>
          <w:szCs w:val="22"/>
          <w:lang w:eastAsia="en-US"/>
        </w:rPr>
        <w:t xml:space="preserve"> a PDA.  However, it is often that case that there are alternative explanations for such a change, which could include:</w:t>
      </w:r>
    </w:p>
    <w:p w14:paraId="25B7367F" w14:textId="77777777" w:rsidR="00F03107" w:rsidRDefault="00F03107" w:rsidP="00F03107">
      <w:pPr>
        <w:pStyle w:val="ListParagraph"/>
        <w:numPr>
          <w:ilvl w:val="0"/>
          <w:numId w:val="1"/>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Emerging emotional/mental health difficulties</w:t>
      </w:r>
    </w:p>
    <w:p w14:paraId="00B25F03" w14:textId="77777777" w:rsidR="00F03107" w:rsidRDefault="00F03107" w:rsidP="00F03107">
      <w:pPr>
        <w:pStyle w:val="ListParagraph"/>
        <w:numPr>
          <w:ilvl w:val="0"/>
          <w:numId w:val="1"/>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Increasing anxiety as a result of demand in the environment increasing, for example, changes in the environment, events that result in stress for anyone in the environment </w:t>
      </w:r>
    </w:p>
    <w:p w14:paraId="55F3A465" w14:textId="77777777" w:rsidR="00F03107" w:rsidRDefault="00F03107" w:rsidP="00F03107">
      <w:pPr>
        <w:pStyle w:val="ListParagraph"/>
        <w:numPr>
          <w:ilvl w:val="0"/>
          <w:numId w:val="1"/>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Strategies that have been recommended not having been implemented</w:t>
      </w:r>
    </w:p>
    <w:p w14:paraId="7EF69A45" w14:textId="77777777" w:rsidR="00F03107" w:rsidRDefault="00F03107" w:rsidP="00F03107">
      <w:pPr>
        <w:pStyle w:val="ListParagraph"/>
        <w:numPr>
          <w:ilvl w:val="0"/>
          <w:numId w:val="1"/>
        </w:num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Alternative additional difficulties that the child/young person has that were not identified at the point of the previous assessment</w:t>
      </w:r>
    </w:p>
    <w:p w14:paraId="55893DBB" w14:textId="77777777" w:rsidR="00F03107" w:rsidRDefault="00F03107" w:rsidP="00F03107">
      <w:pPr>
        <w:spacing w:after="200" w:line="276" w:lineRule="auto"/>
        <w:rPr>
          <w:rFonts w:ascii="Arial" w:eastAsiaTheme="minorHAnsi" w:hAnsi="Arial" w:cs="Arial"/>
          <w:sz w:val="22"/>
          <w:szCs w:val="22"/>
          <w:lang w:eastAsia="en-US"/>
        </w:rPr>
      </w:pPr>
      <w:r>
        <w:rPr>
          <w:rFonts w:ascii="Arial" w:eastAsiaTheme="minorHAnsi" w:hAnsi="Arial" w:cs="Arial"/>
          <w:sz w:val="22"/>
          <w:szCs w:val="22"/>
          <w:lang w:eastAsia="en-US"/>
        </w:rPr>
        <w:t xml:space="preserve">It is recognised that the advantages of recognising PDA </w:t>
      </w:r>
      <w:proofErr w:type="gramStart"/>
      <w:r>
        <w:rPr>
          <w:rFonts w:ascii="Arial" w:eastAsiaTheme="minorHAnsi" w:hAnsi="Arial" w:cs="Arial"/>
          <w:sz w:val="22"/>
          <w:szCs w:val="22"/>
          <w:lang w:eastAsia="en-US"/>
        </w:rPr>
        <w:t>is</w:t>
      </w:r>
      <w:proofErr w:type="gramEnd"/>
      <w:r>
        <w:rPr>
          <w:rFonts w:ascii="Arial" w:eastAsiaTheme="minorHAnsi" w:hAnsi="Arial" w:cs="Arial"/>
          <w:sz w:val="22"/>
          <w:szCs w:val="22"/>
          <w:lang w:eastAsia="en-US"/>
        </w:rPr>
        <w:t xml:space="preserve"> specifically because the educational handling strategies are different from young people with a PDA in comparison to young people wit</w:t>
      </w:r>
      <w:r w:rsidR="005E2397">
        <w:rPr>
          <w:rFonts w:ascii="Arial" w:eastAsiaTheme="minorHAnsi" w:hAnsi="Arial" w:cs="Arial"/>
          <w:sz w:val="22"/>
          <w:szCs w:val="22"/>
          <w:lang w:eastAsia="en-US"/>
        </w:rPr>
        <w:t>h</w:t>
      </w:r>
      <w:r>
        <w:rPr>
          <w:rFonts w:ascii="Arial" w:eastAsiaTheme="minorHAnsi" w:hAnsi="Arial" w:cs="Arial"/>
          <w:sz w:val="22"/>
          <w:szCs w:val="22"/>
          <w:lang w:eastAsia="en-US"/>
        </w:rPr>
        <w:t xml:space="preserve"> an ASD.  </w:t>
      </w:r>
    </w:p>
    <w:p w14:paraId="0D1201BC" w14:textId="77777777" w:rsidR="003A3E73" w:rsidRDefault="00F03107" w:rsidP="00F03107">
      <w:pPr>
        <w:rPr>
          <w:rFonts w:ascii="Arial" w:eastAsiaTheme="minorHAnsi" w:hAnsi="Arial" w:cs="Arial"/>
          <w:sz w:val="22"/>
          <w:szCs w:val="22"/>
          <w:lang w:eastAsia="en-US"/>
        </w:rPr>
      </w:pPr>
      <w:proofErr w:type="gramStart"/>
      <w:r>
        <w:rPr>
          <w:rFonts w:ascii="Arial" w:eastAsiaTheme="minorHAnsi" w:hAnsi="Arial" w:cs="Arial"/>
          <w:sz w:val="22"/>
          <w:szCs w:val="22"/>
          <w:lang w:eastAsia="en-US"/>
        </w:rPr>
        <w:t>Therefore</w:t>
      </w:r>
      <w:proofErr w:type="gramEnd"/>
      <w:r>
        <w:rPr>
          <w:rFonts w:ascii="Arial" w:eastAsiaTheme="minorHAnsi" w:hAnsi="Arial" w:cs="Arial"/>
          <w:sz w:val="22"/>
          <w:szCs w:val="22"/>
          <w:lang w:eastAsia="en-US"/>
        </w:rPr>
        <w:t xml:space="preserve"> the assessment pathway that has been designed for assessing for PDA has tried to ensure that all of these key issues are addressed in the process of assessment.  This is a model of </w:t>
      </w:r>
      <w:r w:rsidRPr="0072193A">
        <w:rPr>
          <w:rFonts w:ascii="Arial" w:eastAsiaTheme="minorHAnsi" w:hAnsi="Arial" w:cs="Arial"/>
          <w:b/>
          <w:sz w:val="22"/>
          <w:szCs w:val="22"/>
          <w:lang w:eastAsia="en-US"/>
        </w:rPr>
        <w:t>‘assessment over time’</w:t>
      </w:r>
      <w:r>
        <w:rPr>
          <w:rFonts w:ascii="Arial" w:eastAsiaTheme="minorHAnsi" w:hAnsi="Arial" w:cs="Arial"/>
          <w:sz w:val="22"/>
          <w:szCs w:val="22"/>
          <w:lang w:eastAsia="en-US"/>
        </w:rPr>
        <w:t xml:space="preserve"> in the environments (home and school) in which the child/young person is in.  This model ensures that there is on-going monitoring of needs, implementation of support and strategies and monitoring of outcomes.  Once all information is received, if the referral is accepted, there will be </w:t>
      </w:r>
      <w:r w:rsidRPr="0072193A">
        <w:rPr>
          <w:rFonts w:ascii="Arial" w:eastAsiaTheme="minorHAnsi" w:hAnsi="Arial" w:cs="Arial"/>
          <w:b/>
          <w:sz w:val="22"/>
          <w:szCs w:val="22"/>
          <w:lang w:eastAsia="en-US"/>
        </w:rPr>
        <w:t>consultation process</w:t>
      </w:r>
      <w:r>
        <w:rPr>
          <w:rFonts w:ascii="Arial" w:eastAsiaTheme="minorHAnsi" w:hAnsi="Arial" w:cs="Arial"/>
          <w:sz w:val="22"/>
          <w:szCs w:val="22"/>
          <w:lang w:eastAsia="en-US"/>
        </w:rPr>
        <w:t xml:space="preserve"> involving family, SISS and key professionals from education and any other professionals supporting the child and family to consider the evidence that has been gathered and determine if the child would benefit from a diagnosis of PDA.  If this is case it is hoped that further direct assessment with the child will be unnecessary.</w:t>
      </w:r>
    </w:p>
    <w:p w14:paraId="06D931C3" w14:textId="77777777" w:rsidR="00F03107" w:rsidRDefault="00F03107" w:rsidP="00F03107">
      <w:pPr>
        <w:rPr>
          <w:rFonts w:ascii="Arial" w:eastAsiaTheme="minorHAnsi" w:hAnsi="Arial" w:cs="Arial"/>
          <w:sz w:val="22"/>
          <w:szCs w:val="22"/>
          <w:lang w:eastAsia="en-US"/>
        </w:rPr>
      </w:pPr>
    </w:p>
    <w:p w14:paraId="5556BC9D" w14:textId="77777777" w:rsidR="00F03107" w:rsidRDefault="00F03107" w:rsidP="00F03107">
      <w:r>
        <w:rPr>
          <w:rFonts w:ascii="Arial" w:eastAsiaTheme="minorHAnsi" w:hAnsi="Arial" w:cs="Arial"/>
          <w:sz w:val="22"/>
          <w:szCs w:val="22"/>
          <w:lang w:eastAsia="en-US"/>
        </w:rPr>
        <w:t xml:space="preserve">It has been agreed that from September 2017 that referrals for PDA will be considered by the Specialist Assessment Service.  Included in this pack are copies of the paperwork that you will be required to provide at the point of referral to the Specialist Assessment Service.  If you wish to discuss any of this </w:t>
      </w:r>
      <w:proofErr w:type="gramStart"/>
      <w:r>
        <w:rPr>
          <w:rFonts w:ascii="Arial" w:eastAsiaTheme="minorHAnsi" w:hAnsi="Arial" w:cs="Arial"/>
          <w:sz w:val="22"/>
          <w:szCs w:val="22"/>
          <w:lang w:eastAsia="en-US"/>
        </w:rPr>
        <w:t>further</w:t>
      </w:r>
      <w:proofErr w:type="gramEnd"/>
      <w:r>
        <w:rPr>
          <w:rFonts w:ascii="Arial" w:eastAsiaTheme="minorHAnsi" w:hAnsi="Arial" w:cs="Arial"/>
          <w:sz w:val="22"/>
          <w:szCs w:val="22"/>
          <w:lang w:eastAsia="en-US"/>
        </w:rPr>
        <w:t xml:space="preserve"> please feel free to contact Dr Lisa Summerhill: </w:t>
      </w:r>
      <w:r w:rsidR="00693AF8">
        <w:rPr>
          <w:rFonts w:ascii="Arial" w:eastAsiaTheme="minorHAnsi" w:hAnsi="Arial" w:cs="Arial"/>
          <w:sz w:val="22"/>
          <w:szCs w:val="22"/>
          <w:lang w:eastAsia="en-US"/>
        </w:rPr>
        <w:t xml:space="preserve">0121 722 8010.  </w:t>
      </w:r>
      <w:proofErr w:type="gramStart"/>
      <w:r>
        <w:rPr>
          <w:rFonts w:ascii="Arial" w:eastAsiaTheme="minorHAnsi" w:hAnsi="Arial" w:cs="Arial"/>
          <w:sz w:val="22"/>
          <w:szCs w:val="22"/>
          <w:lang w:eastAsia="en-US"/>
        </w:rPr>
        <w:t>Alternatively</w:t>
      </w:r>
      <w:proofErr w:type="gramEnd"/>
      <w:r>
        <w:rPr>
          <w:rFonts w:ascii="Arial" w:eastAsiaTheme="minorHAnsi" w:hAnsi="Arial" w:cs="Arial"/>
          <w:sz w:val="22"/>
          <w:szCs w:val="22"/>
          <w:lang w:eastAsia="en-US"/>
        </w:rPr>
        <w:t xml:space="preserve"> you can contact </w:t>
      </w:r>
      <w:r w:rsidR="00693AF8">
        <w:rPr>
          <w:rFonts w:ascii="Arial" w:eastAsiaTheme="minorHAnsi" w:hAnsi="Arial" w:cs="Arial"/>
          <w:sz w:val="22"/>
          <w:szCs w:val="22"/>
          <w:lang w:eastAsia="en-US"/>
        </w:rPr>
        <w:t>Tina Partridge</w:t>
      </w:r>
      <w:r>
        <w:rPr>
          <w:rFonts w:ascii="Arial" w:eastAsiaTheme="minorHAnsi" w:hAnsi="Arial" w:cs="Arial"/>
          <w:sz w:val="22"/>
          <w:szCs w:val="22"/>
          <w:lang w:eastAsia="en-US"/>
        </w:rPr>
        <w:t>:</w:t>
      </w:r>
      <w:r w:rsidR="00693AF8">
        <w:rPr>
          <w:rFonts w:ascii="Arial" w:eastAsiaTheme="minorHAnsi" w:hAnsi="Arial" w:cs="Arial"/>
          <w:sz w:val="22"/>
          <w:szCs w:val="22"/>
          <w:lang w:eastAsia="en-US"/>
        </w:rPr>
        <w:t xml:space="preserve"> 0121 704 6690.</w:t>
      </w:r>
    </w:p>
    <w:sectPr w:rsidR="00F0310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99DBE" w14:textId="77777777" w:rsidR="00551D5F" w:rsidRDefault="00551D5F" w:rsidP="00CB6C45">
      <w:r>
        <w:separator/>
      </w:r>
    </w:p>
  </w:endnote>
  <w:endnote w:type="continuationSeparator" w:id="0">
    <w:p w14:paraId="55516DC6" w14:textId="77777777" w:rsidR="00551D5F" w:rsidRDefault="00551D5F" w:rsidP="00CB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C257" w14:textId="77777777" w:rsidR="00CB6C45" w:rsidRDefault="00CB6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DFBD" w14:textId="77777777" w:rsidR="006E0662" w:rsidRDefault="006E0662" w:rsidP="006E0662">
    <w:pPr>
      <w:pStyle w:val="Footer"/>
    </w:pPr>
    <w:r>
      <w:t>Lead for this work: Dr Lisa Summerhill, Lead Clinical Psychologist</w:t>
    </w:r>
  </w:p>
  <w:p w14:paraId="772E089C" w14:textId="77777777" w:rsidR="006E0662" w:rsidRDefault="006E0662" w:rsidP="006E0662">
    <w:pPr>
      <w:pStyle w:val="Footer"/>
    </w:pPr>
    <w:r>
      <w:t>Approved by Shirley Heatherington, Clinical Lead</w:t>
    </w:r>
  </w:p>
  <w:p w14:paraId="3C0D364B" w14:textId="77777777" w:rsidR="00CB6C45" w:rsidRDefault="006E0662" w:rsidP="006E0662">
    <w:pPr>
      <w:pStyle w:val="Footer"/>
    </w:pPr>
    <w:r>
      <w:t>The Specialist Assessment Service</w:t>
    </w:r>
  </w:p>
  <w:p w14:paraId="61E8AB31" w14:textId="77777777" w:rsidR="00EC687F" w:rsidRPr="006E0662" w:rsidRDefault="00EC687F" w:rsidP="006E0662">
    <w:pPr>
      <w:pStyle w:val="Footer"/>
    </w:pPr>
    <w:r>
      <w:t>Updated September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F2F5" w14:textId="77777777" w:rsidR="00CB6C45" w:rsidRDefault="00CB6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383F1" w14:textId="77777777" w:rsidR="00551D5F" w:rsidRDefault="00551D5F" w:rsidP="00CB6C45">
      <w:r>
        <w:separator/>
      </w:r>
    </w:p>
  </w:footnote>
  <w:footnote w:type="continuationSeparator" w:id="0">
    <w:p w14:paraId="5BDAB0DC" w14:textId="77777777" w:rsidR="00551D5F" w:rsidRDefault="00551D5F" w:rsidP="00CB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80379" w14:textId="77777777" w:rsidR="00CB6C45" w:rsidRDefault="00CB6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404315"/>
      <w:docPartObj>
        <w:docPartGallery w:val="Page Numbers (Top of Page)"/>
        <w:docPartUnique/>
      </w:docPartObj>
    </w:sdtPr>
    <w:sdtEndPr>
      <w:rPr>
        <w:noProof/>
      </w:rPr>
    </w:sdtEndPr>
    <w:sdtContent>
      <w:p w14:paraId="13EC7694" w14:textId="77777777" w:rsidR="006E0662" w:rsidRDefault="006E0662">
        <w:pPr>
          <w:pStyle w:val="Header"/>
          <w:jc w:val="right"/>
        </w:pPr>
        <w:r>
          <w:fldChar w:fldCharType="begin"/>
        </w:r>
        <w:r>
          <w:instrText xml:space="preserve"> PAGE   \* MERGEFORMAT </w:instrText>
        </w:r>
        <w:r>
          <w:fldChar w:fldCharType="separate"/>
        </w:r>
        <w:r w:rsidR="00EC687F">
          <w:rPr>
            <w:noProof/>
          </w:rPr>
          <w:t>1</w:t>
        </w:r>
        <w:r>
          <w:rPr>
            <w:noProof/>
          </w:rPr>
          <w:fldChar w:fldCharType="end"/>
        </w:r>
      </w:p>
    </w:sdtContent>
  </w:sdt>
  <w:p w14:paraId="718DCA7B" w14:textId="77777777" w:rsidR="00CB6C45" w:rsidRDefault="00CB6C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75F95" w14:textId="77777777" w:rsidR="00CB6C45" w:rsidRDefault="00CB6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4068C"/>
    <w:multiLevelType w:val="hybridMultilevel"/>
    <w:tmpl w:val="762863EE"/>
    <w:lvl w:ilvl="0" w:tplc="08090001">
      <w:start w:val="1"/>
      <w:numFmt w:val="bullet"/>
      <w:lvlText w:val=""/>
      <w:lvlJc w:val="left"/>
      <w:pPr>
        <w:ind w:left="626" w:hanging="360"/>
      </w:pPr>
      <w:rPr>
        <w:rFonts w:ascii="Symbol" w:hAnsi="Symbol"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hint="default"/>
      </w:rPr>
    </w:lvl>
    <w:lvl w:ilvl="3" w:tplc="08090001" w:tentative="1">
      <w:start w:val="1"/>
      <w:numFmt w:val="bullet"/>
      <w:lvlText w:val=""/>
      <w:lvlJc w:val="left"/>
      <w:pPr>
        <w:ind w:left="2786" w:hanging="360"/>
      </w:pPr>
      <w:rPr>
        <w:rFonts w:ascii="Symbol" w:hAnsi="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hint="default"/>
      </w:rPr>
    </w:lvl>
    <w:lvl w:ilvl="6" w:tplc="08090001" w:tentative="1">
      <w:start w:val="1"/>
      <w:numFmt w:val="bullet"/>
      <w:lvlText w:val=""/>
      <w:lvlJc w:val="left"/>
      <w:pPr>
        <w:ind w:left="4946" w:hanging="360"/>
      </w:pPr>
      <w:rPr>
        <w:rFonts w:ascii="Symbol" w:hAnsi="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07"/>
    <w:rsid w:val="00124A03"/>
    <w:rsid w:val="003A3E73"/>
    <w:rsid w:val="00551D5F"/>
    <w:rsid w:val="005E2397"/>
    <w:rsid w:val="00693AF8"/>
    <w:rsid w:val="006E0662"/>
    <w:rsid w:val="00714273"/>
    <w:rsid w:val="0072193A"/>
    <w:rsid w:val="007D6CEA"/>
    <w:rsid w:val="00A928D1"/>
    <w:rsid w:val="00BE70EF"/>
    <w:rsid w:val="00CB6C45"/>
    <w:rsid w:val="00D35459"/>
    <w:rsid w:val="00EC687F"/>
    <w:rsid w:val="00F0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3251"/>
  <w15:docId w15:val="{77051AE6-3341-4A03-8E7A-7B59D6A6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310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107"/>
    <w:pPr>
      <w:ind w:left="720"/>
      <w:contextualSpacing/>
    </w:pPr>
    <w:rPr>
      <w:rFonts w:eastAsia="Calibri"/>
    </w:rPr>
  </w:style>
  <w:style w:type="paragraph" w:styleId="BalloonText">
    <w:name w:val="Balloon Text"/>
    <w:basedOn w:val="Normal"/>
    <w:link w:val="BalloonTextChar"/>
    <w:uiPriority w:val="99"/>
    <w:semiHidden/>
    <w:unhideWhenUsed/>
    <w:rsid w:val="00F03107"/>
    <w:rPr>
      <w:rFonts w:ascii="Tahoma" w:hAnsi="Tahoma" w:cs="Tahoma"/>
      <w:sz w:val="16"/>
      <w:szCs w:val="16"/>
    </w:rPr>
  </w:style>
  <w:style w:type="character" w:customStyle="1" w:styleId="BalloonTextChar">
    <w:name w:val="Balloon Text Char"/>
    <w:basedOn w:val="DefaultParagraphFont"/>
    <w:link w:val="BalloonText"/>
    <w:uiPriority w:val="99"/>
    <w:semiHidden/>
    <w:rsid w:val="00F03107"/>
    <w:rPr>
      <w:rFonts w:ascii="Tahoma" w:eastAsia="Times New Roman" w:hAnsi="Tahoma" w:cs="Tahoma"/>
      <w:sz w:val="16"/>
      <w:szCs w:val="16"/>
      <w:lang w:eastAsia="en-GB"/>
    </w:rPr>
  </w:style>
  <w:style w:type="character" w:styleId="Hyperlink">
    <w:name w:val="Hyperlink"/>
    <w:basedOn w:val="DefaultParagraphFont"/>
    <w:uiPriority w:val="99"/>
    <w:unhideWhenUsed/>
    <w:rsid w:val="00F03107"/>
    <w:rPr>
      <w:color w:val="0000FF" w:themeColor="hyperlink"/>
      <w:u w:val="single"/>
    </w:rPr>
  </w:style>
  <w:style w:type="paragraph" w:styleId="Header">
    <w:name w:val="header"/>
    <w:basedOn w:val="Normal"/>
    <w:link w:val="HeaderChar"/>
    <w:uiPriority w:val="99"/>
    <w:unhideWhenUsed/>
    <w:rsid w:val="00CB6C45"/>
    <w:pPr>
      <w:tabs>
        <w:tab w:val="center" w:pos="4513"/>
        <w:tab w:val="right" w:pos="9026"/>
      </w:tabs>
    </w:pPr>
  </w:style>
  <w:style w:type="character" w:customStyle="1" w:styleId="HeaderChar">
    <w:name w:val="Header Char"/>
    <w:basedOn w:val="DefaultParagraphFont"/>
    <w:link w:val="Header"/>
    <w:uiPriority w:val="99"/>
    <w:rsid w:val="00CB6C4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B6C45"/>
    <w:pPr>
      <w:tabs>
        <w:tab w:val="center" w:pos="4513"/>
        <w:tab w:val="right" w:pos="9026"/>
      </w:tabs>
    </w:pPr>
  </w:style>
  <w:style w:type="character" w:customStyle="1" w:styleId="FooterChar">
    <w:name w:val="Footer Char"/>
    <w:basedOn w:val="DefaultParagraphFont"/>
    <w:link w:val="Footer"/>
    <w:uiPriority w:val="99"/>
    <w:rsid w:val="00CB6C4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Heart of England Foundation Trust</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Summerhill Lisa</dc:creator>
  <cp:lastModifiedBy>Lauren</cp:lastModifiedBy>
  <cp:revision>2</cp:revision>
  <cp:lastPrinted>2019-07-03T10:15:00Z</cp:lastPrinted>
  <dcterms:created xsi:type="dcterms:W3CDTF">2020-02-16T17:44:00Z</dcterms:created>
  <dcterms:modified xsi:type="dcterms:W3CDTF">2020-02-16T17:44:00Z</dcterms:modified>
</cp:coreProperties>
</file>